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21"/>
        <w:gridCol w:w="676"/>
        <w:gridCol w:w="710"/>
        <w:gridCol w:w="710"/>
        <w:gridCol w:w="527"/>
        <w:gridCol w:w="482"/>
        <w:gridCol w:w="1401"/>
        <w:gridCol w:w="1332"/>
        <w:gridCol w:w="596"/>
        <w:gridCol w:w="424"/>
        <w:gridCol w:w="1915"/>
        <w:gridCol w:w="576"/>
      </w:tblGrid>
      <w:tr w:rsidR="00583778" w:rsidRPr="00583778" w:rsidTr="00583778">
        <w:trPr>
          <w:trHeight w:val="330"/>
          <w:tblCellSpacing w:w="1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83778" w:rsidRPr="00583778" w:rsidTr="00583778">
        <w:trPr>
          <w:trHeight w:val="735"/>
          <w:tblCellSpacing w:w="15" w:type="dxa"/>
        </w:trPr>
        <w:tc>
          <w:tcPr>
            <w:tcW w:w="111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石柱县2016年第四季度</w:t>
            </w: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</w:rPr>
              <w:t>(第二批 )公开考核招聘卫计系统专业技术人才岗位一览表</w:t>
            </w:r>
          </w:p>
        </w:tc>
      </w:tr>
      <w:tr w:rsidR="00583778" w:rsidRPr="00583778" w:rsidTr="00583778">
        <w:trPr>
          <w:trHeight w:val="315"/>
          <w:tblCellSpacing w:w="15" w:type="dxa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公招人数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公招条件、要求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83778" w:rsidRPr="00583778" w:rsidTr="00583778">
        <w:trPr>
          <w:trHeight w:val="48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1305"/>
          <w:tblCellSpacing w:w="15" w:type="dxa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县卫计委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县人民医院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专技12级及以上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中医内科学、中医儿科学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全日制普通高校研究生学历并取得相应学位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规培生(2017年8月底前取得合格证)或中级职称及以上的,学历可放宽到全日制普通高校本科并取得相应学位（专升本除外),中级职称年龄可放宽到40周岁及以下，副高级职称及以上的年龄可放宽到45周岁及以下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81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学历并取得相应学位（专升本除外)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35周岁及</w:t>
            </w: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以下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不限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需从事临床工作满5年以上且取得执业医</w:t>
            </w: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师资格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3778" w:rsidRPr="00583778" w:rsidTr="00583778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超声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规培生(2017年8月底前取得合格证)或中级职称及以上者，同等条件下优先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3778" w:rsidRPr="00583778" w:rsidTr="00583778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麻醉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3778" w:rsidRPr="00583778" w:rsidTr="00583778">
        <w:trPr>
          <w:trHeight w:val="405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眼耳鼻喉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眼科学、临床医学、耳鼻咽喉科学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3778" w:rsidRPr="00583778" w:rsidTr="00583778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针灸理疗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针灸推拿学、康复治疗学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3778" w:rsidRPr="00583778" w:rsidTr="00583778">
        <w:trPr>
          <w:trHeight w:val="1260"/>
          <w:tblCellSpacing w:w="15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县卫计委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县中医院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财政差额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专技12级及以上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全日制普通高校本科及以上学历并取得相应学位（专升本除外)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具备相应专业中级及以上职称者，学历可放宽至全日制专科，年龄可放宽至40周岁及以下；副高级职称者年龄可放宽至45周岁及以下；2015年及以前毕业者须取得执业医师资格证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83778" w:rsidRPr="00583778" w:rsidTr="00583778">
        <w:trPr>
          <w:trHeight w:val="540"/>
          <w:tblCellSpacing w:w="15" w:type="dxa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县卫计委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县妇幼保健计</w:t>
            </w: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划生育服务中心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临床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专技12级</w:t>
            </w: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及以上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全日制普通高校本科及以上</w:t>
            </w: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学历并取得相应学位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35周岁及</w:t>
            </w: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以下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lastRenderedPageBreak/>
              <w:t>不限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3778" w:rsidRPr="00583778" w:rsidTr="00583778">
        <w:trPr>
          <w:trHeight w:val="66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财政全额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妇幼保健医学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83778" w:rsidRPr="00583778" w:rsidTr="00583778">
        <w:trPr>
          <w:trHeight w:val="480"/>
          <w:tblCellSpacing w:w="15" w:type="dxa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8377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778" w:rsidRPr="00583778" w:rsidRDefault="00583778" w:rsidP="00583778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FE6EBD" w:rsidRDefault="00FE6EBD"/>
    <w:sectPr w:rsidR="00FE6EBD" w:rsidSect="00FE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778"/>
    <w:rsid w:val="00583778"/>
    <w:rsid w:val="00FE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">
    <w:name w:val="font6"/>
    <w:basedOn w:val="a0"/>
    <w:rsid w:val="00583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2016-11-28T07:13:00Z</dcterms:created>
  <dcterms:modified xsi:type="dcterms:W3CDTF">2016-11-28T07:14:00Z</dcterms:modified>
</cp:coreProperties>
</file>